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1200"/>
        <w:jc w:val="center"/>
      </w:pPr>
      <w:r>
        <w:drawing>
          <wp:inline distT="0" distB="0" distL="0" distR="0">
            <wp:extent cx="2476500" cy="1647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0" cy="1647825"/>
                    </a:xfrm>
                    <a:prstGeom prst="rect">
                      <a:avLst/>
                    </a:prstGeom>
                  </pic:spPr>
                </pic:pic>
              </a:graphicData>
            </a:graphic>
          </wp:inline>
        </w:drawing>
      </w:r>
    </w:p>
    <w:p>
      <w:pPr>
        <w:spacing w:after="400"/>
      </w:pPr>
    </w:p>
    <w:p>
      <w:pPr>
        <w:spacing w:after="100"/>
        <w:jc w:val="center"/>
      </w:pPr>
      <w:r>
        <w:rPr>
          <w:rFonts w:ascii="Georgia" w:cs="Georgia" w:eastAsia="Georgia" w:hAnsi="Georgia"/>
          <w:b/>
          <w:bCs/>
          <w:color w:val="1E4620"/>
          <w:sz w:val="52"/>
          <w:szCs w:val="52"/>
        </w:rPr>
        <w:t xml:space="preserve">MOVING IN GUIDE</w:t>
      </w:r>
    </w:p>
    <w:p>
      <w:pPr>
        <w:spacing w:after="300"/>
        <w:jc w:val="center"/>
      </w:pPr>
      <w:r>
        <w:rPr>
          <w:i/>
          <w:iCs/>
          <w:color w:val="595959"/>
          <w:sz w:val="26"/>
          <w:szCs w:val="26"/>
        </w:rPr>
        <w:t xml:space="preserve">A step-by-step guide to starting your tenancy with Haven Housing Service</w:t>
      </w:r>
    </w:p>
    <w:p>
      <w:pPr>
        <w:spacing w:after="600"/>
        <w:jc w:val="center"/>
      </w:pPr>
      <w:r>
        <w:rPr>
          <w:b/>
          <w:bCs/>
          <w:color w:val="1E4620"/>
          <w:sz w:val="22"/>
          <w:szCs w:val="22"/>
        </w:rPr>
        <w:t xml:space="preserve">Where Stability Starts</w:t>
      </w:r>
    </w:p>
    <w:tbl>
      <w:tblPr>
        <w:tblW w:type="dxa" w:w="8500"/>
        <w:jc w:val="center"/>
        <w:tblBorders>
          <w:top w:val="single" w:color="D9D9D6" w:sz="4"/>
          <w:left w:val="single" w:color="D9D9D6" w:sz="4"/>
          <w:bottom w:val="single" w:color="D9D9D6" w:sz="4"/>
          <w:right w:val="single" w:color="D9D9D6" w:sz="4"/>
          <w:insideH w:val="single" w:color="D9D9D6" w:sz="4"/>
          <w:insideV w:val="single" w:color="D9D9D6" w:sz="4"/>
        </w:tblBorders>
      </w:tblPr>
      <w:tblGrid>
        <w:gridCol w:w="3000"/>
        <w:gridCol w:w="5500"/>
      </w:tblGrid>
      <w:tr>
        <w:tc>
          <w:tcPr>
            <w:tcW w:type="dxa" w:w="3000"/>
            <w:shd w:fill="F2F2F0" w:val="clear"/>
            <w:tcMar>
              <w:top w:type="dxa" w:w="100"/>
              <w:left w:type="dxa" w:w="150"/>
              <w:bottom w:type="dxa" w:w="100"/>
              <w:right w:type="dxa" w:w="150"/>
            </w:tcMar>
            <w:vAlign w:val="center"/>
          </w:tcPr>
          <w:p>
            <w:r>
              <w:rPr>
                <w:b/>
                <w:bCs/>
                <w:color w:val="16351A"/>
                <w:sz w:val="20"/>
                <w:szCs w:val="20"/>
              </w:rPr>
              <w:t xml:space="preserve">Document Title</w:t>
            </w:r>
          </w:p>
        </w:tc>
        <w:tc>
          <w:tcPr>
            <w:tcW w:type="dxa" w:w="5500"/>
            <w:tcMar>
              <w:top w:type="dxa" w:w="100"/>
              <w:left w:type="dxa" w:w="150"/>
              <w:bottom w:type="dxa" w:w="100"/>
              <w:right w:type="dxa" w:w="150"/>
            </w:tcMar>
            <w:vAlign w:val="center"/>
          </w:tcPr>
          <w:p>
            <w:r>
              <w:rPr>
                <w:color w:val="222222"/>
                <w:sz w:val="20"/>
                <w:szCs w:val="20"/>
              </w:rPr>
              <w:t xml:space="preserve">Moving In Guide</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Document Reference</w:t>
            </w:r>
          </w:p>
        </w:tc>
        <w:tc>
          <w:tcPr>
            <w:tcW w:type="dxa" w:w="5500"/>
            <w:tcMar>
              <w:top w:type="dxa" w:w="100"/>
              <w:left w:type="dxa" w:w="150"/>
              <w:bottom w:type="dxa" w:w="100"/>
              <w:right w:type="dxa" w:w="150"/>
            </w:tcMar>
            <w:vAlign w:val="center"/>
          </w:tcPr>
          <w:p>
            <w:r>
              <w:rPr>
                <w:color w:val="222222"/>
                <w:sz w:val="20"/>
                <w:szCs w:val="20"/>
              </w:rPr>
              <w:t xml:space="preserve">HHS-GUI-05</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Version</w:t>
            </w:r>
          </w:p>
        </w:tc>
        <w:tc>
          <w:tcPr>
            <w:tcW w:type="dxa" w:w="5500"/>
            <w:tcMar>
              <w:top w:type="dxa" w:w="100"/>
              <w:left w:type="dxa" w:w="150"/>
              <w:bottom w:type="dxa" w:w="100"/>
              <w:right w:type="dxa" w:w="150"/>
            </w:tcMar>
            <w:vAlign w:val="center"/>
          </w:tcPr>
          <w:p>
            <w:r>
              <w:rPr>
                <w:color w:val="222222"/>
                <w:sz w:val="20"/>
                <w:szCs w:val="20"/>
              </w:rPr>
              <w:t xml:space="preserve">1.0</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Effective Date</w:t>
            </w:r>
          </w:p>
        </w:tc>
        <w:tc>
          <w:tcPr>
            <w:tcW w:type="dxa" w:w="5500"/>
            <w:tcMar>
              <w:top w:type="dxa" w:w="100"/>
              <w:left w:type="dxa" w:w="150"/>
              <w:bottom w:type="dxa" w:w="100"/>
              <w:right w:type="dxa" w:w="150"/>
            </w:tcMar>
            <w:vAlign w:val="center"/>
          </w:tcPr>
          <w:p>
            <w:r>
              <w:rPr>
                <w:color w:val="222222"/>
                <w:sz w:val="20"/>
                <w:szCs w:val="20"/>
              </w:rPr>
              <w:t xml:space="preserve">[Effective Date]</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Next Review Date</w:t>
            </w:r>
          </w:p>
        </w:tc>
        <w:tc>
          <w:tcPr>
            <w:tcW w:type="dxa" w:w="5500"/>
            <w:tcMar>
              <w:top w:type="dxa" w:w="100"/>
              <w:left w:type="dxa" w:w="150"/>
              <w:bottom w:type="dxa" w:w="100"/>
              <w:right w:type="dxa" w:w="150"/>
            </w:tcMar>
            <w:vAlign w:val="center"/>
          </w:tcPr>
          <w:p>
            <w:r>
              <w:rPr>
                <w:color w:val="222222"/>
                <w:sz w:val="20"/>
                <w:szCs w:val="20"/>
              </w:rPr>
              <w:t xml:space="preserve">[Review Date — 12 months from effective date]</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Document Owner</w:t>
            </w:r>
          </w:p>
        </w:tc>
        <w:tc>
          <w:tcPr>
            <w:tcW w:type="dxa" w:w="5500"/>
            <w:tcMar>
              <w:top w:type="dxa" w:w="100"/>
              <w:left w:type="dxa" w:w="150"/>
              <w:bottom w:type="dxa" w:w="100"/>
              <w:right w:type="dxa" w:w="150"/>
            </w:tcMar>
            <w:vAlign w:val="center"/>
          </w:tcPr>
          <w:p>
            <w:r>
              <w:rPr>
                <w:color w:val="222222"/>
                <w:sz w:val="20"/>
                <w:szCs w:val="20"/>
              </w:rPr>
              <w:t xml:space="preserve">Registered Manager</w:t>
            </w:r>
          </w:p>
        </w:tc>
      </w:tr>
      <w:tr>
        <w:tc>
          <w:tcPr>
            <w:tcW w:type="dxa" w:w="3000"/>
            <w:shd w:fill="F2F2F0" w:val="clear"/>
            <w:tcMar>
              <w:top w:type="dxa" w:w="100"/>
              <w:left w:type="dxa" w:w="150"/>
              <w:bottom w:type="dxa" w:w="100"/>
              <w:right w:type="dxa" w:w="150"/>
            </w:tcMar>
            <w:vAlign w:val="center"/>
          </w:tcPr>
          <w:p>
            <w:r>
              <w:rPr>
                <w:b/>
                <w:bCs/>
                <w:color w:val="16351A"/>
                <w:sz w:val="20"/>
                <w:szCs w:val="20"/>
              </w:rPr>
              <w:t xml:space="preserve">Classification</w:t>
            </w:r>
          </w:p>
        </w:tc>
        <w:tc>
          <w:tcPr>
            <w:tcW w:type="dxa" w:w="5500"/>
            <w:tcMar>
              <w:top w:type="dxa" w:w="100"/>
              <w:left w:type="dxa" w:w="150"/>
              <w:bottom w:type="dxa" w:w="100"/>
              <w:right w:type="dxa" w:w="150"/>
            </w:tcMar>
            <w:vAlign w:val="center"/>
          </w:tcPr>
          <w:p>
            <w:r>
              <w:rPr>
                <w:color w:val="222222"/>
                <w:sz w:val="20"/>
                <w:szCs w:val="20"/>
              </w:rPr>
              <w:t xml:space="preserve">Internal / Resident-Facing</w:t>
            </w:r>
          </w:p>
        </w:tc>
      </w:tr>
    </w:tbl>
    <w:p>
      <w:r>
        <w:br w:type="page"/>
      </w:r>
    </w:p>
    <w:p>
      <w:pPr>
        <w:sectPr>
          <w:headerReference w:type="default" r:id="rId7"/>
          <w:footerReference w:type="default" r:id="rId8"/>
          <w:pgSz w:w="11906" w:h="16838" w:orient="portrait"/>
          <w:pgMar w:top="1600" w:right="1100" w:bottom="1200" w:left="1100" w:header="500" w:footer="500" w:gutter="0"/>
          <w:pgNumType/>
          <w:docGrid w:linePitch="360"/>
        </w:sectPr>
      </w:pPr>
    </w:p>
    <w:p>
      <w:pPr>
        <w:pStyle w:val="Heading1"/>
        <w:pBdr>
          <w:bottom w:val="single" w:color="1E4620" w:sz="8" w:space="4"/>
        </w:pBdr>
        <w:spacing w:after="200" w:before="400"/>
      </w:pPr>
      <w:r>
        <w:rPr>
          <w:rFonts w:ascii="Georgia" w:cs="Georgia" w:eastAsia="Georgia" w:hAnsi="Georgia"/>
          <w:b/>
          <w:bCs/>
          <w:color w:val="1E4620"/>
          <w:sz w:val="32"/>
          <w:szCs w:val="32"/>
        </w:rPr>
        <w:t xml:space="preserve">Introduction</w:t>
      </w:r>
    </w:p>
    <w:p>
      <w:pPr>
        <w:spacing w:after="160" w:line="288"/>
      </w:pPr>
      <w:r>
        <w:rPr>
          <w:color w:val="222222"/>
          <w:sz w:val="21"/>
          <w:szCs w:val="21"/>
        </w:rPr>
        <w:t xml:space="preserve">This guide sets out, step by step, what happens before, during and shortly after you move into a Haven Housing Service property. It is designed to work alongside your Welcome Pack and Resident Handbook.</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1. Before You Move In</w:t>
      </w:r>
    </w:p>
    <w:p>
      <w:pPr>
        <w:pStyle w:val="Heading2"/>
        <w:spacing w:after="150" w:before="300"/>
      </w:pPr>
      <w:r>
        <w:rPr>
          <w:b/>
          <w:bCs/>
          <w:color w:val="16351A"/>
          <w:sz w:val="26"/>
          <w:szCs w:val="26"/>
        </w:rPr>
        <w:t xml:space="preserve">1.1 Referral and Assessment</w:t>
      </w:r>
    </w:p>
    <w:p>
      <w:pPr>
        <w:spacing w:after="160" w:line="288"/>
      </w:pPr>
      <w:r>
        <w:rPr>
          <w:color w:val="222222"/>
          <w:sz w:val="21"/>
          <w:szCs w:val="21"/>
        </w:rPr>
        <w:t xml:space="preserve">Before you are offered a place, we carry out a referral and needs assessment. This helps us understand your support needs and check that our accommodation is a suitable and safe match for you and for other residents already living there.</w:t>
      </w:r>
    </w:p>
    <w:tbl>
      <w:tblPr>
        <w:tblW w:type="dxa" w:w="9500"/>
        <w:tblBorders>
          <w:top w:val="single" w:color="D9D9D6" w:sz="4"/>
          <w:left w:val="single" w:color="D9D9D6" w:sz="4"/>
          <w:bottom w:val="single" w:color="D9D9D6" w:sz="4"/>
          <w:right w:val="single" w:color="D9D9D6" w:sz="4"/>
          <w:insideH w:val="single" w:color="D9D9D6" w:sz="4"/>
          <w:insideV w:val="single" w:color="D9D9D6" w:sz="4"/>
        </w:tblBorders>
      </w:tblPr>
      <w:tblGrid>
        <w:gridCol w:w="600"/>
        <w:gridCol w:w="8900"/>
      </w:tblGrid>
      <w:tr>
        <w:tc>
          <w:tcPr>
            <w:tcW w:type="dxa" w:w="600"/>
            <w:tcMar>
              <w:top w:type="dxa" w:w="100"/>
              <w:left w:type="dxa" w:w="120"/>
              <w:bottom w:type="dxa" w:w="100"/>
              <w:right w:type="dxa" w:w="120"/>
            </w:tcMar>
            <w:vAlign w:val="center"/>
          </w:tcPr>
          <w:p>
            <w:pPr>
              <w:jc w:val="center"/>
            </w:pPr>
            <w:r>
              <w:rPr>
                <w:sz w:val="24"/>
                <w:szCs w:val="24"/>
              </w:rPr>
              <w:t xml:space="preserve">☐</w:t>
            </w:r>
          </w:p>
        </w:tc>
        <w:tc>
          <w:tcPr>
            <w:tcW w:type="dxa" w:w="8900"/>
            <w:tcMar>
              <w:top w:type="dxa" w:w="100"/>
              <w:left w:type="dxa" w:w="120"/>
              <w:bottom w:type="dxa" w:w="100"/>
              <w:right w:type="dxa" w:w="120"/>
            </w:tcMar>
            <w:vAlign w:val="center"/>
          </w:tcPr>
          <w:p>
            <w:r>
              <w:rPr>
                <w:sz w:val="20"/>
                <w:szCs w:val="20"/>
              </w:rPr>
              <w:t xml:space="preserve">Referral received and logged</w:t>
            </w:r>
          </w:p>
        </w:tc>
      </w:tr>
      <w:tr>
        <w:tc>
          <w:tcPr>
            <w:tcW w:type="dxa" w:w="600"/>
            <w:tcMar>
              <w:top w:type="dxa" w:w="100"/>
              <w:left w:type="dxa" w:w="120"/>
              <w:bottom w:type="dxa" w:w="100"/>
              <w:right w:type="dxa" w:w="120"/>
            </w:tcMar>
            <w:vAlign w:val="center"/>
          </w:tcPr>
          <w:p>
            <w:pPr>
              <w:jc w:val="center"/>
            </w:pPr>
            <w:r>
              <w:rPr>
                <w:sz w:val="24"/>
                <w:szCs w:val="24"/>
              </w:rPr>
              <w:t xml:space="preserve">☐</w:t>
            </w:r>
          </w:p>
        </w:tc>
        <w:tc>
          <w:tcPr>
            <w:tcW w:type="dxa" w:w="8900"/>
            <w:tcMar>
              <w:top w:type="dxa" w:w="100"/>
              <w:left w:type="dxa" w:w="120"/>
              <w:bottom w:type="dxa" w:w="100"/>
              <w:right w:type="dxa" w:w="120"/>
            </w:tcMar>
            <w:vAlign w:val="center"/>
          </w:tcPr>
          <w:p>
            <w:r>
              <w:rPr>
                <w:sz w:val="20"/>
                <w:szCs w:val="20"/>
              </w:rPr>
              <w:t xml:space="preserve">Initial risk assessment completed</w:t>
            </w:r>
          </w:p>
        </w:tc>
      </w:tr>
      <w:tr>
        <w:tc>
          <w:tcPr>
            <w:tcW w:type="dxa" w:w="600"/>
            <w:tcMar>
              <w:top w:type="dxa" w:w="100"/>
              <w:left w:type="dxa" w:w="120"/>
              <w:bottom w:type="dxa" w:w="100"/>
              <w:right w:type="dxa" w:w="120"/>
            </w:tcMar>
            <w:vAlign w:val="center"/>
          </w:tcPr>
          <w:p>
            <w:pPr>
              <w:jc w:val="center"/>
            </w:pPr>
            <w:r>
              <w:rPr>
                <w:sz w:val="24"/>
                <w:szCs w:val="24"/>
              </w:rPr>
              <w:t xml:space="preserve">☐</w:t>
            </w:r>
          </w:p>
        </w:tc>
        <w:tc>
          <w:tcPr>
            <w:tcW w:type="dxa" w:w="8900"/>
            <w:tcMar>
              <w:top w:type="dxa" w:w="100"/>
              <w:left w:type="dxa" w:w="120"/>
              <w:bottom w:type="dxa" w:w="100"/>
              <w:right w:type="dxa" w:w="120"/>
            </w:tcMar>
            <w:vAlign w:val="center"/>
          </w:tcPr>
          <w:p>
            <w:r>
              <w:rPr>
                <w:sz w:val="20"/>
                <w:szCs w:val="20"/>
              </w:rPr>
              <w:t xml:space="preserve">Needs and eligibility assessment completed</w:t>
            </w:r>
          </w:p>
        </w:tc>
      </w:tr>
      <w:tr>
        <w:tc>
          <w:tcPr>
            <w:tcW w:type="dxa" w:w="600"/>
            <w:tcMar>
              <w:top w:type="dxa" w:w="100"/>
              <w:left w:type="dxa" w:w="120"/>
              <w:bottom w:type="dxa" w:w="100"/>
              <w:right w:type="dxa" w:w="120"/>
            </w:tcMar>
            <w:vAlign w:val="center"/>
          </w:tcPr>
          <w:p>
            <w:pPr>
              <w:jc w:val="center"/>
            </w:pPr>
            <w:r>
              <w:rPr>
                <w:sz w:val="24"/>
                <w:szCs w:val="24"/>
              </w:rPr>
              <w:t xml:space="preserve">☐</w:t>
            </w:r>
          </w:p>
        </w:tc>
        <w:tc>
          <w:tcPr>
            <w:tcW w:type="dxa" w:w="8900"/>
            <w:tcMar>
              <w:top w:type="dxa" w:w="100"/>
              <w:left w:type="dxa" w:w="120"/>
              <w:bottom w:type="dxa" w:w="100"/>
              <w:right w:type="dxa" w:w="120"/>
            </w:tcMar>
            <w:vAlign w:val="center"/>
          </w:tcPr>
          <w:p>
            <w:r>
              <w:rPr>
                <w:sz w:val="20"/>
                <w:szCs w:val="20"/>
              </w:rPr>
              <w:t xml:space="preserve">Suitability check against available property/room</w:t>
            </w:r>
          </w:p>
        </w:tc>
      </w:tr>
      <w:tr>
        <w:tc>
          <w:tcPr>
            <w:tcW w:type="dxa" w:w="600"/>
            <w:tcMar>
              <w:top w:type="dxa" w:w="100"/>
              <w:left w:type="dxa" w:w="120"/>
              <w:bottom w:type="dxa" w:w="100"/>
              <w:right w:type="dxa" w:w="120"/>
            </w:tcMar>
            <w:vAlign w:val="center"/>
          </w:tcPr>
          <w:p>
            <w:pPr>
              <w:jc w:val="center"/>
            </w:pPr>
            <w:r>
              <w:rPr>
                <w:sz w:val="24"/>
                <w:szCs w:val="24"/>
              </w:rPr>
              <w:t xml:space="preserve">☐</w:t>
            </w:r>
          </w:p>
        </w:tc>
        <w:tc>
          <w:tcPr>
            <w:tcW w:type="dxa" w:w="8900"/>
            <w:tcMar>
              <w:top w:type="dxa" w:w="100"/>
              <w:left w:type="dxa" w:w="120"/>
              <w:bottom w:type="dxa" w:w="100"/>
              <w:right w:type="dxa" w:w="120"/>
            </w:tcMar>
            <w:vAlign w:val="center"/>
          </w:tcPr>
          <w:p>
            <w:r>
              <w:rPr>
                <w:sz w:val="20"/>
                <w:szCs w:val="20"/>
              </w:rPr>
              <w:t xml:space="preserve">Offer of accommodation made</w:t>
            </w:r>
          </w:p>
        </w:tc>
      </w:tr>
      <w:tr>
        <w:tc>
          <w:tcPr>
            <w:tcW w:type="dxa" w:w="600"/>
            <w:tcMar>
              <w:top w:type="dxa" w:w="100"/>
              <w:left w:type="dxa" w:w="120"/>
              <w:bottom w:type="dxa" w:w="100"/>
              <w:right w:type="dxa" w:w="120"/>
            </w:tcMar>
            <w:vAlign w:val="center"/>
          </w:tcPr>
          <w:p>
            <w:pPr>
              <w:jc w:val="center"/>
            </w:pPr>
            <w:r>
              <w:rPr>
                <w:sz w:val="24"/>
                <w:szCs w:val="24"/>
              </w:rPr>
              <w:t xml:space="preserve">☐</w:t>
            </w:r>
          </w:p>
        </w:tc>
        <w:tc>
          <w:tcPr>
            <w:tcW w:type="dxa" w:w="8900"/>
            <w:tcMar>
              <w:top w:type="dxa" w:w="100"/>
              <w:left w:type="dxa" w:w="120"/>
              <w:bottom w:type="dxa" w:w="100"/>
              <w:right w:type="dxa" w:w="120"/>
            </w:tcMar>
            <w:vAlign w:val="center"/>
          </w:tcPr>
          <w:p>
            <w:r>
              <w:rPr>
                <w:sz w:val="20"/>
                <w:szCs w:val="20"/>
              </w:rPr>
              <w:t xml:space="preserve">Move-in date agreed</w:t>
            </w:r>
          </w:p>
        </w:tc>
      </w:tr>
    </w:tbl>
    <w:p>
      <w:pPr>
        <w:spacing w:after="200"/>
      </w:pPr>
    </w:p>
    <w:p>
      <w:pPr>
        <w:pStyle w:val="Heading2"/>
        <w:spacing w:after="150" w:before="300"/>
      </w:pPr>
      <w:r>
        <w:rPr>
          <w:b/>
          <w:bCs/>
          <w:color w:val="16351A"/>
          <w:sz w:val="26"/>
          <w:szCs w:val="26"/>
        </w:rPr>
        <w:t xml:space="preserve">1.2 What We'll Need From You</w:t>
      </w:r>
    </w:p>
    <w:p>
      <w:pPr>
        <w:pStyle w:val="ListParagraph"/>
        <w:numPr>
          <w:ilvl w:val="0"/>
          <w:numId w:val="2"/>
        </w:numPr>
        <w:spacing w:after="80"/>
      </w:pPr>
      <w:r>
        <w:rPr>
          <w:sz w:val="21"/>
          <w:szCs w:val="21"/>
        </w:rPr>
        <w:t xml:space="preserve">Photo identification, where available.</w:t>
      </w:r>
    </w:p>
    <w:p>
      <w:pPr>
        <w:pStyle w:val="ListParagraph"/>
        <w:numPr>
          <w:ilvl w:val="0"/>
          <w:numId w:val="2"/>
        </w:numPr>
        <w:spacing w:after="80"/>
      </w:pPr>
      <w:r>
        <w:rPr>
          <w:sz w:val="21"/>
          <w:szCs w:val="21"/>
        </w:rPr>
        <w:t xml:space="preserve">Any relevant paperwork — benefits correspondence, medical letters, previous tenancy references.</w:t>
      </w:r>
    </w:p>
    <w:p>
      <w:pPr>
        <w:pStyle w:val="ListParagraph"/>
        <w:numPr>
          <w:ilvl w:val="0"/>
          <w:numId w:val="2"/>
        </w:numPr>
        <w:spacing w:after="80"/>
      </w:pPr>
      <w:r>
        <w:rPr>
          <w:sz w:val="21"/>
          <w:szCs w:val="21"/>
        </w:rPr>
        <w:t xml:space="preserve">Contact details for any professionals already involved in your support (social worker, probation officer, caseworker, GP).</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2. On Your Move-In Day</w:t>
      </w:r>
    </w:p>
    <w:p>
      <w:pPr>
        <w:pStyle w:val="ListParagraph"/>
        <w:numPr>
          <w:ilvl w:val="0"/>
          <w:numId w:val="3"/>
        </w:numPr>
        <w:spacing w:after="80"/>
      </w:pPr>
      <w:r>
        <w:rPr>
          <w:sz w:val="21"/>
          <w:szCs w:val="21"/>
        </w:rPr>
        <w:t xml:space="preserve">Arrive at the property at the agreed time and meet your Support Worker.</w:t>
      </w:r>
    </w:p>
    <w:p>
      <w:pPr>
        <w:pStyle w:val="ListParagraph"/>
        <w:numPr>
          <w:ilvl w:val="0"/>
          <w:numId w:val="3"/>
        </w:numPr>
        <w:spacing w:after="80"/>
      </w:pPr>
      <w:r>
        <w:rPr>
          <w:sz w:val="21"/>
          <w:szCs w:val="21"/>
        </w:rPr>
        <w:t xml:space="preserve">Complete identity verification and right-to-reside checks.</w:t>
      </w:r>
    </w:p>
    <w:p>
      <w:pPr>
        <w:pStyle w:val="ListParagraph"/>
        <w:numPr>
          <w:ilvl w:val="0"/>
          <w:numId w:val="3"/>
        </w:numPr>
        <w:spacing w:after="80"/>
      </w:pPr>
      <w:r>
        <w:rPr>
          <w:sz w:val="21"/>
          <w:szCs w:val="21"/>
        </w:rPr>
        <w:t xml:space="preserve">Read through and sign your Licence Agreement or Tenancy Agreement.</w:t>
      </w:r>
    </w:p>
    <w:p>
      <w:pPr>
        <w:pStyle w:val="ListParagraph"/>
        <w:numPr>
          <w:ilvl w:val="0"/>
          <w:numId w:val="3"/>
        </w:numPr>
        <w:spacing w:after="80"/>
      </w:pPr>
      <w:r>
        <w:rPr>
          <w:sz w:val="21"/>
          <w:szCs w:val="21"/>
        </w:rPr>
        <w:t xml:space="preserve">Complete a room/property condition report together, noting any existing damage.</w:t>
      </w:r>
    </w:p>
    <w:p>
      <w:pPr>
        <w:pStyle w:val="ListParagraph"/>
        <w:numPr>
          <w:ilvl w:val="0"/>
          <w:numId w:val="3"/>
        </w:numPr>
        <w:spacing w:after="80"/>
      </w:pPr>
      <w:r>
        <w:rPr>
          <w:sz w:val="21"/>
          <w:szCs w:val="21"/>
        </w:rPr>
        <w:t xml:space="preserve">Receive your keys or entry fob.</w:t>
      </w:r>
    </w:p>
    <w:p>
      <w:pPr>
        <w:pStyle w:val="ListParagraph"/>
        <w:numPr>
          <w:ilvl w:val="0"/>
          <w:numId w:val="3"/>
        </w:numPr>
        <w:spacing w:after="80"/>
      </w:pPr>
      <w:r>
        <w:rPr>
          <w:sz w:val="21"/>
          <w:szCs w:val="21"/>
        </w:rPr>
        <w:t xml:space="preserve">Be shown the fire evacuation route, assembly point, and safety equipment.</w:t>
      </w:r>
    </w:p>
    <w:p>
      <w:pPr>
        <w:pStyle w:val="ListParagraph"/>
        <w:numPr>
          <w:ilvl w:val="0"/>
          <w:numId w:val="3"/>
        </w:numPr>
        <w:spacing w:after="80"/>
      </w:pPr>
      <w:r>
        <w:rPr>
          <w:sz w:val="21"/>
          <w:szCs w:val="21"/>
        </w:rPr>
        <w:t xml:space="preserve">Receive your Welcome Pack, Resident Handbook and House Rules.</w:t>
      </w:r>
    </w:p>
    <w:p>
      <w:pPr>
        <w:pStyle w:val="ListParagraph"/>
        <w:numPr>
          <w:ilvl w:val="0"/>
          <w:numId w:val="3"/>
        </w:numPr>
        <w:spacing w:after="80"/>
      </w:pPr>
      <w:r>
        <w:rPr>
          <w:sz w:val="21"/>
          <w:szCs w:val="21"/>
        </w:rPr>
        <w:t xml:space="preserve">Begin your first Support Plan conversation.</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3. Documentation You Will Receive</w:t>
      </w:r>
    </w:p>
    <w:tbl>
      <w:tblPr>
        <w:tblW w:type="dxa" w:w="9500"/>
        <w:tblBorders>
          <w:top w:val="single" w:color="D9D9D6" w:sz="4"/>
          <w:left w:val="single" w:color="D9D9D6" w:sz="4"/>
          <w:bottom w:val="single" w:color="D9D9D6" w:sz="4"/>
          <w:right w:val="single" w:color="D9D9D6" w:sz="4"/>
          <w:insideH w:val="single" w:color="D9D9D6" w:sz="4"/>
          <w:insideV w:val="single" w:color="D9D9D6" w:sz="4"/>
        </w:tblBorders>
      </w:tblPr>
      <w:tblGrid>
        <w:gridCol w:w="600"/>
        <w:gridCol w:w="8900"/>
      </w:tblGrid>
      <w:tr>
        <w:tc>
          <w:tcPr>
            <w:tcW w:type="dxa" w:w="600"/>
            <w:tcMar>
              <w:top w:type="dxa" w:w="100"/>
              <w:left w:type="dxa" w:w="120"/>
              <w:bottom w:type="dxa" w:w="100"/>
              <w:right w:type="dxa" w:w="120"/>
            </w:tcMar>
            <w:vAlign w:val="center"/>
          </w:tcPr>
          <w:p>
            <w:pPr>
              <w:jc w:val="center"/>
            </w:pPr>
            <w:r>
              <w:rPr>
                <w:sz w:val="24"/>
                <w:szCs w:val="24"/>
              </w:rPr>
              <w:t xml:space="preserve">☐</w:t>
            </w:r>
          </w:p>
        </w:tc>
        <w:tc>
          <w:tcPr>
            <w:tcW w:type="dxa" w:w="8900"/>
            <w:tcMar>
              <w:top w:type="dxa" w:w="100"/>
              <w:left w:type="dxa" w:w="120"/>
              <w:bottom w:type="dxa" w:w="100"/>
              <w:right w:type="dxa" w:w="120"/>
            </w:tcMar>
            <w:vAlign w:val="center"/>
          </w:tcPr>
          <w:p>
            <w:r>
              <w:rPr>
                <w:sz w:val="20"/>
                <w:szCs w:val="20"/>
              </w:rPr>
              <w:t xml:space="preserve">Licence Agreement or Tenancy Agreement (signed copy)</w:t>
            </w:r>
          </w:p>
        </w:tc>
      </w:tr>
      <w:tr>
        <w:tc>
          <w:tcPr>
            <w:tcW w:type="dxa" w:w="600"/>
            <w:tcMar>
              <w:top w:type="dxa" w:w="100"/>
              <w:left w:type="dxa" w:w="120"/>
              <w:bottom w:type="dxa" w:w="100"/>
              <w:right w:type="dxa" w:w="120"/>
            </w:tcMar>
            <w:vAlign w:val="center"/>
          </w:tcPr>
          <w:p>
            <w:pPr>
              <w:jc w:val="center"/>
            </w:pPr>
            <w:r>
              <w:rPr>
                <w:sz w:val="24"/>
                <w:szCs w:val="24"/>
              </w:rPr>
              <w:t xml:space="preserve">☐</w:t>
            </w:r>
          </w:p>
        </w:tc>
        <w:tc>
          <w:tcPr>
            <w:tcW w:type="dxa" w:w="8900"/>
            <w:tcMar>
              <w:top w:type="dxa" w:w="100"/>
              <w:left w:type="dxa" w:w="120"/>
              <w:bottom w:type="dxa" w:w="100"/>
              <w:right w:type="dxa" w:w="120"/>
            </w:tcMar>
            <w:vAlign w:val="center"/>
          </w:tcPr>
          <w:p>
            <w:r>
              <w:rPr>
                <w:sz w:val="20"/>
                <w:szCs w:val="20"/>
              </w:rPr>
              <w:t xml:space="preserve">Welcome Pack</w:t>
            </w:r>
          </w:p>
        </w:tc>
      </w:tr>
      <w:tr>
        <w:tc>
          <w:tcPr>
            <w:tcW w:type="dxa" w:w="600"/>
            <w:tcMar>
              <w:top w:type="dxa" w:w="100"/>
              <w:left w:type="dxa" w:w="120"/>
              <w:bottom w:type="dxa" w:w="100"/>
              <w:right w:type="dxa" w:w="120"/>
            </w:tcMar>
            <w:vAlign w:val="center"/>
          </w:tcPr>
          <w:p>
            <w:pPr>
              <w:jc w:val="center"/>
            </w:pPr>
            <w:r>
              <w:rPr>
                <w:sz w:val="24"/>
                <w:szCs w:val="24"/>
              </w:rPr>
              <w:t xml:space="preserve">☐</w:t>
            </w:r>
          </w:p>
        </w:tc>
        <w:tc>
          <w:tcPr>
            <w:tcW w:type="dxa" w:w="8900"/>
            <w:tcMar>
              <w:top w:type="dxa" w:w="100"/>
              <w:left w:type="dxa" w:w="120"/>
              <w:bottom w:type="dxa" w:w="100"/>
              <w:right w:type="dxa" w:w="120"/>
            </w:tcMar>
            <w:vAlign w:val="center"/>
          </w:tcPr>
          <w:p>
            <w:r>
              <w:rPr>
                <w:sz w:val="20"/>
                <w:szCs w:val="20"/>
              </w:rPr>
              <w:t xml:space="preserve">Resident Handbook</w:t>
            </w:r>
          </w:p>
        </w:tc>
      </w:tr>
      <w:tr>
        <w:tc>
          <w:tcPr>
            <w:tcW w:type="dxa" w:w="600"/>
            <w:tcMar>
              <w:top w:type="dxa" w:w="100"/>
              <w:left w:type="dxa" w:w="120"/>
              <w:bottom w:type="dxa" w:w="100"/>
              <w:right w:type="dxa" w:w="120"/>
            </w:tcMar>
            <w:vAlign w:val="center"/>
          </w:tcPr>
          <w:p>
            <w:pPr>
              <w:jc w:val="center"/>
            </w:pPr>
            <w:r>
              <w:rPr>
                <w:sz w:val="24"/>
                <w:szCs w:val="24"/>
              </w:rPr>
              <w:t xml:space="preserve">☐</w:t>
            </w:r>
          </w:p>
        </w:tc>
        <w:tc>
          <w:tcPr>
            <w:tcW w:type="dxa" w:w="8900"/>
            <w:tcMar>
              <w:top w:type="dxa" w:w="100"/>
              <w:left w:type="dxa" w:w="120"/>
              <w:bottom w:type="dxa" w:w="100"/>
              <w:right w:type="dxa" w:w="120"/>
            </w:tcMar>
            <w:vAlign w:val="center"/>
          </w:tcPr>
          <w:p>
            <w:r>
              <w:rPr>
                <w:sz w:val="20"/>
                <w:szCs w:val="20"/>
              </w:rPr>
              <w:t xml:space="preserve">House Rules</w:t>
            </w:r>
          </w:p>
        </w:tc>
      </w:tr>
      <w:tr>
        <w:tc>
          <w:tcPr>
            <w:tcW w:type="dxa" w:w="600"/>
            <w:tcMar>
              <w:top w:type="dxa" w:w="100"/>
              <w:left w:type="dxa" w:w="120"/>
              <w:bottom w:type="dxa" w:w="100"/>
              <w:right w:type="dxa" w:w="120"/>
            </w:tcMar>
            <w:vAlign w:val="center"/>
          </w:tcPr>
          <w:p>
            <w:pPr>
              <w:jc w:val="center"/>
            </w:pPr>
            <w:r>
              <w:rPr>
                <w:sz w:val="24"/>
                <w:szCs w:val="24"/>
              </w:rPr>
              <w:t xml:space="preserve">☐</w:t>
            </w:r>
          </w:p>
        </w:tc>
        <w:tc>
          <w:tcPr>
            <w:tcW w:type="dxa" w:w="8900"/>
            <w:tcMar>
              <w:top w:type="dxa" w:w="100"/>
              <w:left w:type="dxa" w:w="120"/>
              <w:bottom w:type="dxa" w:w="100"/>
              <w:right w:type="dxa" w:w="120"/>
            </w:tcMar>
            <w:vAlign w:val="center"/>
          </w:tcPr>
          <w:p>
            <w:r>
              <w:rPr>
                <w:sz w:val="20"/>
                <w:szCs w:val="20"/>
              </w:rPr>
              <w:t xml:space="preserve">Fire Safety Guide</w:t>
            </w:r>
          </w:p>
        </w:tc>
      </w:tr>
      <w:tr>
        <w:tc>
          <w:tcPr>
            <w:tcW w:type="dxa" w:w="600"/>
            <w:tcMar>
              <w:top w:type="dxa" w:w="100"/>
              <w:left w:type="dxa" w:w="120"/>
              <w:bottom w:type="dxa" w:w="100"/>
              <w:right w:type="dxa" w:w="120"/>
            </w:tcMar>
            <w:vAlign w:val="center"/>
          </w:tcPr>
          <w:p>
            <w:pPr>
              <w:jc w:val="center"/>
            </w:pPr>
            <w:r>
              <w:rPr>
                <w:sz w:val="24"/>
                <w:szCs w:val="24"/>
              </w:rPr>
              <w:t xml:space="preserve">☐</w:t>
            </w:r>
          </w:p>
        </w:tc>
        <w:tc>
          <w:tcPr>
            <w:tcW w:type="dxa" w:w="8900"/>
            <w:tcMar>
              <w:top w:type="dxa" w:w="100"/>
              <w:left w:type="dxa" w:w="120"/>
              <w:bottom w:type="dxa" w:w="100"/>
              <w:right w:type="dxa" w:w="120"/>
            </w:tcMar>
            <w:vAlign w:val="center"/>
          </w:tcPr>
          <w:p>
            <w:r>
              <w:rPr>
                <w:sz w:val="20"/>
                <w:szCs w:val="20"/>
              </w:rPr>
              <w:t xml:space="preserve">Room/property condition report</w:t>
            </w:r>
          </w:p>
        </w:tc>
      </w:tr>
      <w:tr>
        <w:tc>
          <w:tcPr>
            <w:tcW w:type="dxa" w:w="600"/>
            <w:tcMar>
              <w:top w:type="dxa" w:w="100"/>
              <w:left w:type="dxa" w:w="120"/>
              <w:bottom w:type="dxa" w:w="100"/>
              <w:right w:type="dxa" w:w="120"/>
            </w:tcMar>
            <w:vAlign w:val="center"/>
          </w:tcPr>
          <w:p>
            <w:pPr>
              <w:jc w:val="center"/>
            </w:pPr>
            <w:r>
              <w:rPr>
                <w:sz w:val="24"/>
                <w:szCs w:val="24"/>
              </w:rPr>
              <w:t xml:space="preserve">☐</w:t>
            </w:r>
          </w:p>
        </w:tc>
        <w:tc>
          <w:tcPr>
            <w:tcW w:type="dxa" w:w="8900"/>
            <w:tcMar>
              <w:top w:type="dxa" w:w="100"/>
              <w:left w:type="dxa" w:w="120"/>
              <w:bottom w:type="dxa" w:w="100"/>
              <w:right w:type="dxa" w:w="120"/>
            </w:tcMar>
            <w:vAlign w:val="center"/>
          </w:tcPr>
          <w:p>
            <w:r>
              <w:rPr>
                <w:sz w:val="20"/>
                <w:szCs w:val="20"/>
              </w:rPr>
              <w:t xml:space="preserve">Key contacts sheet</w:t>
            </w:r>
          </w:p>
        </w:tc>
      </w:tr>
    </w:tbl>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4. Sorting Out Benefits and Money</w:t>
      </w:r>
    </w:p>
    <w:p>
      <w:pPr>
        <w:spacing w:after="160" w:line="288"/>
      </w:pPr>
      <w:r>
        <w:rPr>
          <w:color w:val="222222"/>
          <w:sz w:val="21"/>
          <w:szCs w:val="21"/>
        </w:rPr>
        <w:t xml:space="preserve">Your Support Worker will help you as soon as possible after move-in to:</w:t>
      </w:r>
    </w:p>
    <w:p>
      <w:pPr>
        <w:pStyle w:val="ListParagraph"/>
        <w:numPr>
          <w:ilvl w:val="0"/>
          <w:numId w:val="2"/>
        </w:numPr>
        <w:spacing w:after="80"/>
      </w:pPr>
      <w:r>
        <w:rPr>
          <w:sz w:val="21"/>
          <w:szCs w:val="21"/>
        </w:rPr>
        <w:t xml:space="preserve">Update or make a Universal Credit / Housing Benefit claim with your new address.</w:t>
      </w:r>
    </w:p>
    <w:p>
      <w:pPr>
        <w:pStyle w:val="ListParagraph"/>
        <w:numPr>
          <w:ilvl w:val="0"/>
          <w:numId w:val="2"/>
        </w:numPr>
        <w:spacing w:after="80"/>
      </w:pPr>
      <w:r>
        <w:rPr>
          <w:sz w:val="21"/>
          <w:szCs w:val="21"/>
        </w:rPr>
        <w:t xml:space="preserve">Understand exactly what your rent and charges cover.</w:t>
      </w:r>
    </w:p>
    <w:p>
      <w:pPr>
        <w:pStyle w:val="ListParagraph"/>
        <w:numPr>
          <w:ilvl w:val="0"/>
          <w:numId w:val="2"/>
        </w:numPr>
        <w:spacing w:after="80"/>
      </w:pPr>
      <w:r>
        <w:rPr>
          <w:sz w:val="21"/>
          <w:szCs w:val="21"/>
        </w:rPr>
        <w:t xml:space="preserve">Set up a way to pay your rent that works for you.</w:t>
      </w:r>
    </w:p>
    <w:p>
      <w:pPr>
        <w:pStyle w:val="ListParagraph"/>
        <w:numPr>
          <w:ilvl w:val="0"/>
          <w:numId w:val="2"/>
        </w:numPr>
        <w:spacing w:after="80"/>
      </w:pPr>
      <w:r>
        <w:rPr>
          <w:sz w:val="21"/>
          <w:szCs w:val="21"/>
        </w:rPr>
        <w:t xml:space="preserve">Access emergency financial support or a food bank referral, if needed, while things are being set up.</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5. Registering with Local Services</w:t>
      </w:r>
    </w:p>
    <w:p>
      <w:pPr>
        <w:pStyle w:val="ListParagraph"/>
        <w:numPr>
          <w:ilvl w:val="0"/>
          <w:numId w:val="2"/>
        </w:numPr>
        <w:spacing w:after="80"/>
      </w:pPr>
      <w:r>
        <w:rPr>
          <w:sz w:val="21"/>
          <w:szCs w:val="21"/>
        </w:rPr>
        <w:t xml:space="preserve">Register with a local GP surgery — your Support Worker can help you find and register.</w:t>
      </w:r>
    </w:p>
    <w:p>
      <w:pPr>
        <w:pStyle w:val="ListParagraph"/>
        <w:numPr>
          <w:ilvl w:val="0"/>
          <w:numId w:val="2"/>
        </w:numPr>
        <w:spacing w:after="80"/>
      </w:pPr>
      <w:r>
        <w:rPr>
          <w:sz w:val="21"/>
          <w:szCs w:val="21"/>
        </w:rPr>
        <w:t xml:space="preserve">Register with a dentist, if needed.</w:t>
      </w:r>
    </w:p>
    <w:p>
      <w:pPr>
        <w:pStyle w:val="ListParagraph"/>
        <w:numPr>
          <w:ilvl w:val="0"/>
          <w:numId w:val="2"/>
        </w:numPr>
        <w:spacing w:after="80"/>
      </w:pPr>
      <w:r>
        <w:rPr>
          <w:sz w:val="21"/>
          <w:szCs w:val="21"/>
        </w:rPr>
        <w:t xml:space="preserve">Update your address with the Jobcentre, HMRC, and any other relevant authorities.</w:t>
      </w:r>
    </w:p>
    <w:p>
      <w:pPr>
        <w:pStyle w:val="ListParagraph"/>
        <w:numPr>
          <w:ilvl w:val="0"/>
          <w:numId w:val="2"/>
        </w:numPr>
        <w:spacing w:after="80"/>
      </w:pPr>
      <w:r>
        <w:rPr>
          <w:sz w:val="21"/>
          <w:szCs w:val="21"/>
        </w:rPr>
        <w:t xml:space="preserve">Register to vote at your new address, if you wish to.</w:t>
      </w:r>
    </w:p>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6. Your First Week — What to Expect</w:t>
      </w:r>
    </w:p>
    <w:p>
      <w:pPr>
        <w:spacing w:after="160" w:line="288"/>
      </w:pPr>
      <w:r>
        <w:rPr>
          <w:color w:val="222222"/>
          <w:sz w:val="21"/>
          <w:szCs w:val="21"/>
        </w:rPr>
        <w:t xml:space="preserve">Your Support Worker will check in with you regularly during your first week to make sure you're settling in. This is a good time to raise any questions, concerns, or additional support needs — nothing is too small.</w:t>
      </w:r>
    </w:p>
    <w:tbl>
      <w:tblPr>
        <w:tblW w:type="dxa" w:w="9500"/>
        <w:tblBorders>
          <w:top w:val="single" w:color="1E4620" w:sz="6"/>
          <w:left w:val="single" w:color="1E4620" w:sz="6"/>
          <w:bottom w:val="single" w:color="1E4620" w:sz="6"/>
          <w:right w:val="single" w:color="1E4620" w:sz="6"/>
          <w:insideH w:val="none" w:color="FFFFFF" w:sz="0"/>
          <w:insideV w:val="none" w:color="FFFFFF" w:sz="0"/>
        </w:tblBorders>
      </w:tblPr>
      <w:tblGrid>
        <w:gridCol w:w="9500"/>
      </w:tblGrid>
      <w:tr>
        <w:tc>
          <w:tcPr>
            <w:tcW w:type="dxa" w:w="9500"/>
            <w:shd w:fill="F2F2F0" w:val="clear"/>
            <w:tcMar>
              <w:top w:type="dxa" w:w="160"/>
              <w:left w:type="dxa" w:w="200"/>
              <w:bottom w:type="dxa" w:w="160"/>
              <w:right w:type="dxa" w:w="200"/>
            </w:tcMar>
          </w:tcPr>
          <w:p>
            <w:pPr>
              <w:spacing w:after="60"/>
            </w:pPr>
            <w:r>
              <w:rPr>
                <w:b/>
                <w:bCs/>
                <w:color w:val="1E4620"/>
                <w:sz w:val="20"/>
                <w:szCs w:val="20"/>
              </w:rPr>
              <w:t xml:space="preserve">Settling In Takes Time</w:t>
            </w:r>
          </w:p>
          <w:p>
            <w:r>
              <w:rPr>
                <w:color w:val="222222"/>
                <w:sz w:val="20"/>
                <w:szCs w:val="20"/>
              </w:rPr>
              <w:t xml:space="preserve">It's completely normal to feel unsettled during your first few days in a new home. Please talk to your Support Worker about how you're feeling — support is available for practical and emotional adjustment alike.</w:t>
            </w:r>
          </w:p>
        </w:tc>
      </w:tr>
    </w:tbl>
    <w:p>
      <w:pPr>
        <w:spacing w:after="120"/>
      </w:pPr>
    </w:p>
    <w:p>
      <w:pPr>
        <w:pStyle w:val="Heading1"/>
        <w:pBdr>
          <w:bottom w:val="single" w:color="1E4620" w:sz="8" w:space="4"/>
        </w:pBdr>
        <w:spacing w:after="200" w:before="400"/>
      </w:pPr>
      <w:r>
        <w:rPr>
          <w:rFonts w:ascii="Georgia" w:cs="Georgia" w:eastAsia="Georgia" w:hAnsi="Georgia"/>
          <w:b/>
          <w:bCs/>
          <w:color w:val="1E4620"/>
          <w:sz w:val="32"/>
          <w:szCs w:val="32"/>
        </w:rPr>
        <w:t xml:space="preserve">Moving In — Confirmation</w:t>
      </w:r>
    </w:p>
    <w:p>
      <w:pPr>
        <w:spacing w:after="160" w:line="288"/>
      </w:pPr>
      <w:r>
        <w:rPr>
          <w:color w:val="222222"/>
          <w:sz w:val="21"/>
          <w:szCs w:val="21"/>
        </w:rPr>
        <w:t xml:space="preserve">I confirm that I have completed the moving-in process described in this guide, including receiving my Licence Agreement or Tenancy Agreement, Welcome Pack, Resident Handbook and House Rules, and that the fire evacuation procedure has been explained to me.</w:t>
      </w:r>
    </w:p>
    <w:p>
      <w:pPr>
        <w:spacing w:after="120"/>
      </w:pPr>
    </w:p>
    <w:tbl>
      <w:tblPr>
        <w:tblW w:type="dxa" w:w="9500"/>
        <w:tblBorders>
          <w:top w:val="single" w:color="D9D9D6" w:sz="4"/>
          <w:left w:val="single" w:color="D9D9D6" w:sz="4"/>
          <w:bottom w:val="single" w:color="D9D9D6" w:sz="4"/>
          <w:right w:val="single" w:color="D9D9D6" w:sz="4"/>
          <w:insideH w:val="single" w:color="D9D9D6" w:sz="4"/>
          <w:insideV w:val="single" w:color="D9D9D6" w:sz="4"/>
        </w:tblBorders>
      </w:tblPr>
      <w:tblGrid>
        <w:gridCol w:w="2500"/>
        <w:gridCol w:w="2500"/>
        <w:gridCol w:w="2500"/>
        <w:gridCol w:w="2000"/>
      </w:tblGrid>
      <w:tr>
        <w:trPr>
          <w:tblHeader/>
        </w:trPr>
        <w:tc>
          <w:tcPr>
            <w:tcW w:type="dxa" w:w="2500"/>
            <w:shd w:fill="1E4620" w:val="clear"/>
            <w:tcMar>
              <w:top w:type="dxa" w:w="80"/>
              <w:left w:type="dxa" w:w="120"/>
              <w:bottom w:type="dxa" w:w="80"/>
              <w:right w:type="dxa" w:w="120"/>
            </w:tcMar>
            <w:vAlign w:val="center"/>
          </w:tcPr>
          <w:p>
            <w:r>
              <w:rPr>
                <w:b/>
                <w:bCs/>
                <w:color w:val="FFFFFF"/>
                <w:sz w:val="18"/>
                <w:szCs w:val="18"/>
              </w:rPr>
              <w:t xml:space="preserve"/>
            </w:r>
          </w:p>
        </w:tc>
        <w:tc>
          <w:tcPr>
            <w:tcW w:type="dxa" w:w="2500"/>
            <w:shd w:fill="1E4620" w:val="clear"/>
            <w:tcMar>
              <w:top w:type="dxa" w:w="80"/>
              <w:left w:type="dxa" w:w="120"/>
              <w:bottom w:type="dxa" w:w="80"/>
              <w:right w:type="dxa" w:w="120"/>
            </w:tcMar>
            <w:vAlign w:val="center"/>
          </w:tcPr>
          <w:p>
            <w:r>
              <w:rPr>
                <w:b/>
                <w:bCs/>
                <w:color w:val="FFFFFF"/>
                <w:sz w:val="18"/>
                <w:szCs w:val="18"/>
              </w:rPr>
              <w:t xml:space="preserve">Name</w:t>
            </w:r>
          </w:p>
        </w:tc>
        <w:tc>
          <w:tcPr>
            <w:tcW w:type="dxa" w:w="2500"/>
            <w:shd w:fill="1E4620" w:val="clear"/>
            <w:tcMar>
              <w:top w:type="dxa" w:w="80"/>
              <w:left w:type="dxa" w:w="120"/>
              <w:bottom w:type="dxa" w:w="80"/>
              <w:right w:type="dxa" w:w="120"/>
            </w:tcMar>
            <w:vAlign w:val="center"/>
          </w:tcPr>
          <w:p>
            <w:r>
              <w:rPr>
                <w:b/>
                <w:bCs/>
                <w:color w:val="FFFFFF"/>
                <w:sz w:val="18"/>
                <w:szCs w:val="18"/>
              </w:rPr>
              <w:t xml:space="preserve">Signature</w:t>
            </w:r>
          </w:p>
        </w:tc>
        <w:tc>
          <w:tcPr>
            <w:tcW w:type="dxa" w:w="2000"/>
            <w:shd w:fill="1E4620" w:val="clear"/>
            <w:tcMar>
              <w:top w:type="dxa" w:w="80"/>
              <w:left w:type="dxa" w:w="120"/>
              <w:bottom w:type="dxa" w:w="80"/>
              <w:right w:type="dxa" w:w="120"/>
            </w:tcMar>
            <w:vAlign w:val="center"/>
          </w:tcPr>
          <w:p>
            <w:r>
              <w:rPr>
                <w:b/>
                <w:bCs/>
                <w:color w:val="FFFFFF"/>
                <w:sz w:val="18"/>
                <w:szCs w:val="18"/>
              </w:rPr>
              <w:t xml:space="preserve">Date</w:t>
            </w:r>
          </w:p>
        </w:tc>
      </w:tr>
      <w:tr>
        <w:tc>
          <w:tcPr>
            <w:tcW w:type="dxa" w:w="2500"/>
            <w:tcMar>
              <w:top w:type="dxa" w:w="300"/>
              <w:left w:type="dxa" w:w="120"/>
              <w:bottom w:type="dxa" w:w="300"/>
              <w:right w:type="dxa" w:w="120"/>
            </w:tcMar>
          </w:tcPr>
          <w:p>
            <w:r>
              <w:rPr>
                <w:sz w:val="18"/>
                <w:szCs w:val="18"/>
              </w:rPr>
              <w:t xml:space="preserve">Resident</w:t>
            </w:r>
          </w:p>
        </w:tc>
        <w:tc>
          <w:tcPr>
            <w:tcW w:type="dxa" w:w="2500"/>
            <w:tcMar>
              <w:top w:type="dxa" w:w="300"/>
              <w:left w:type="dxa" w:w="120"/>
              <w:bottom w:type="dxa" w:w="300"/>
              <w:right w:type="dxa" w:w="120"/>
            </w:tcMar>
          </w:tcPr>
          <w:p>
            <w:r>
              <w:rPr>
                <w:sz w:val="18"/>
                <w:szCs w:val="18"/>
              </w:rPr>
              <w:t xml:space="preserve"/>
            </w:r>
          </w:p>
        </w:tc>
        <w:tc>
          <w:tcPr>
            <w:tcW w:type="dxa" w:w="2500"/>
            <w:tcMar>
              <w:top w:type="dxa" w:w="300"/>
              <w:left w:type="dxa" w:w="120"/>
              <w:bottom w:type="dxa" w:w="300"/>
              <w:right w:type="dxa" w:w="120"/>
            </w:tcMar>
          </w:tcPr>
          <w:p>
            <w:r>
              <w:rPr>
                <w:sz w:val="18"/>
                <w:szCs w:val="18"/>
              </w:rPr>
              <w:t xml:space="preserve"/>
            </w:r>
          </w:p>
        </w:tc>
        <w:tc>
          <w:tcPr>
            <w:tcW w:type="dxa" w:w="2000"/>
            <w:tcMar>
              <w:top w:type="dxa" w:w="300"/>
              <w:left w:type="dxa" w:w="120"/>
              <w:bottom w:type="dxa" w:w="300"/>
              <w:right w:type="dxa" w:w="120"/>
            </w:tcMar>
          </w:tcPr>
          <w:p>
            <w:r>
              <w:rPr>
                <w:sz w:val="18"/>
                <w:szCs w:val="18"/>
              </w:rPr>
              <w:t xml:space="preserve"/>
            </w:r>
          </w:p>
        </w:tc>
      </w:tr>
      <w:tr>
        <w:tc>
          <w:tcPr>
            <w:tcW w:type="dxa" w:w="2500"/>
            <w:tcMar>
              <w:top w:type="dxa" w:w="300"/>
              <w:left w:type="dxa" w:w="120"/>
              <w:bottom w:type="dxa" w:w="300"/>
              <w:right w:type="dxa" w:w="120"/>
            </w:tcMar>
          </w:tcPr>
          <w:p>
            <w:r>
              <w:rPr>
                <w:sz w:val="18"/>
                <w:szCs w:val="18"/>
              </w:rPr>
              <w:t xml:space="preserve">Support Worker / Witness</w:t>
            </w:r>
          </w:p>
        </w:tc>
        <w:tc>
          <w:tcPr>
            <w:tcW w:type="dxa" w:w="2500"/>
            <w:tcMar>
              <w:top w:type="dxa" w:w="300"/>
              <w:left w:type="dxa" w:w="120"/>
              <w:bottom w:type="dxa" w:w="300"/>
              <w:right w:type="dxa" w:w="120"/>
            </w:tcMar>
          </w:tcPr>
          <w:p>
            <w:r>
              <w:rPr>
                <w:sz w:val="18"/>
                <w:szCs w:val="18"/>
              </w:rPr>
              <w:t xml:space="preserve"/>
            </w:r>
          </w:p>
        </w:tc>
        <w:tc>
          <w:tcPr>
            <w:tcW w:type="dxa" w:w="2500"/>
            <w:tcMar>
              <w:top w:type="dxa" w:w="300"/>
              <w:left w:type="dxa" w:w="120"/>
              <w:bottom w:type="dxa" w:w="300"/>
              <w:right w:type="dxa" w:w="120"/>
            </w:tcMar>
          </w:tcPr>
          <w:p>
            <w:r>
              <w:rPr>
                <w:sz w:val="18"/>
                <w:szCs w:val="18"/>
              </w:rPr>
              <w:t xml:space="preserve"/>
            </w:r>
          </w:p>
        </w:tc>
        <w:tc>
          <w:tcPr>
            <w:tcW w:type="dxa" w:w="2000"/>
            <w:tcMar>
              <w:top w:type="dxa" w:w="300"/>
              <w:left w:type="dxa" w:w="120"/>
              <w:bottom w:type="dxa" w:w="300"/>
              <w:right w:type="dxa" w:w="120"/>
            </w:tcMar>
          </w:tcPr>
          <w:p>
            <w:r>
              <w:rPr>
                <w:sz w:val="18"/>
                <w:szCs w:val="18"/>
              </w:rPr>
              <w:t xml:space="preserve"/>
            </w:r>
          </w:p>
        </w:tc>
      </w:tr>
    </w:tbl>
    <w:p>
      <w:pPr>
        <w:spacing w:after="300"/>
      </w:pPr>
    </w:p>
    <w:tbl>
      <w:tblPr>
        <w:tblW w:type="dxa" w:w="9500"/>
        <w:tblBorders>
          <w:top w:val="single" w:color="1E4620" w:sz="6"/>
          <w:left w:val="single" w:color="1E4620" w:sz="6"/>
          <w:bottom w:val="single" w:color="1E4620" w:sz="6"/>
          <w:right w:val="single" w:color="1E4620" w:sz="6"/>
          <w:insideH w:val="none" w:color="FFFFFF" w:sz="0"/>
          <w:insideV w:val="none" w:color="FFFFFF" w:sz="0"/>
        </w:tblBorders>
      </w:tblPr>
      <w:tblGrid>
        <w:gridCol w:w="9500"/>
      </w:tblGrid>
      <w:tr>
        <w:tc>
          <w:tcPr>
            <w:tcW w:type="dxa" w:w="9500"/>
            <w:shd w:fill="F2F2F0" w:val="clear"/>
            <w:tcMar>
              <w:top w:type="dxa" w:w="160"/>
              <w:left w:type="dxa" w:w="200"/>
              <w:bottom w:type="dxa" w:w="160"/>
              <w:right w:type="dxa" w:w="200"/>
            </w:tcMar>
          </w:tcPr>
          <w:p>
            <w:pPr>
              <w:spacing w:after="60"/>
            </w:pPr>
            <w:r>
              <w:rPr>
                <w:b/>
                <w:bCs/>
                <w:color w:val="1E4620"/>
                <w:sz w:val="20"/>
                <w:szCs w:val="20"/>
              </w:rPr>
              <w:t xml:space="preserve">Contact Haven Housing Service</w:t>
            </w:r>
          </w:p>
          <w:p>
            <w:r>
              <w:rPr>
                <w:color w:val="222222"/>
                <w:sz w:val="20"/>
                <w:szCs w:val="20"/>
              </w:rPr>
              <w:t xml:space="preserve">Address: [Registered Office Address, London] | Tel: [Contact Number] | Email: [Contact Email] | Web: [Website] | Out-of-hours emergency line: [Emergency Number]</w:t>
            </w:r>
          </w:p>
        </w:tc>
      </w:tr>
    </w:tbl>
    <w:sectPr>
      <w:headerReference w:type="default" r:id="rId9"/>
      <w:footerReference w:type="default" r:id="rId10"/>
      <w:pgSz w:w="11906" w:h="16838" w:orient="portrait"/>
      <w:pgMar w:top="1600" w:right="1100" w:bottom="1200" w:left="1100"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6" w:sz="4" w:space="6"/>
      </w:pBdr>
      <w:tabs>
        <w:tab w:val="right" w:pos="9026"/>
      </w:tabs>
      <w:spacing w:before="80"/>
    </w:pPr>
    <w:r>
      <w:rPr>
        <w:color w:val="595959"/>
        <w:sz w:val="14"/>
        <w:szCs w:val="14"/>
      </w:rPr>
      <w:t xml:space="preserve">Haven Housing Service  |  Where Stability Starts  |  HHS-GUI-05</w:t>
    </w:r>
    <w:r>
      <w:ptab w:alignment="right" w:relativeTo="margin" w:leader="none"/>
    </w:r>
    <w:r>
      <w:rPr>
        <w:color w:val="595959"/>
        <w:sz w:val="14"/>
        <w:szCs w:val="14"/>
      </w:rPr>
      <w:t xml:space="preserve">Page </w:t>
    </w:r>
    <w:r>
      <w:rPr>
        <w:color w:val="595959"/>
        <w:sz w:val="14"/>
        <w:szCs w:val="14"/>
      </w:rPr>
      <w:fldChar w:fldCharType="begin"/>
      <w:instrText xml:space="preserve">PAGE</w:instrText>
      <w:fldChar w:fldCharType="separate"/>
      <w:fldChar w:fldCharType="end"/>
    </w:r>
    <w:r>
      <w:rPr>
        <w:color w:val="595959"/>
        <w:sz w:val="14"/>
        <w:szCs w:val="14"/>
      </w:rPr>
      <w:t xml:space="preserve"> of </w:t>
    </w:r>
    <w:r>
      <w:rPr>
        <w:color w:val="595959"/>
        <w:sz w:val="14"/>
        <w:szCs w:val="14"/>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6" w:sz="4" w:space="6"/>
      </w:pBdr>
      <w:tabs>
        <w:tab w:val="right" w:pos="9026"/>
      </w:tabs>
      <w:spacing w:before="80"/>
    </w:pPr>
    <w:r>
      <w:rPr>
        <w:color w:val="595959"/>
        <w:sz w:val="14"/>
        <w:szCs w:val="14"/>
      </w:rPr>
      <w:t xml:space="preserve">Haven Housing Service  |  Where Stability Starts  |  HHS-GUI-05</w:t>
    </w:r>
    <w:r>
      <w:ptab w:alignment="right" w:relativeTo="margin" w:leader="none"/>
    </w:r>
    <w:r>
      <w:rPr>
        <w:color w:val="595959"/>
        <w:sz w:val="14"/>
        <w:szCs w:val="14"/>
      </w:rPr>
      <w:t xml:space="preserve">Page </w:t>
    </w:r>
    <w:r>
      <w:rPr>
        <w:color w:val="595959"/>
        <w:sz w:val="14"/>
        <w:szCs w:val="14"/>
      </w:rPr>
      <w:fldChar w:fldCharType="begin"/>
      <w:instrText xml:space="preserve">PAGE</w:instrText>
      <w:fldChar w:fldCharType="separate"/>
      <w:fldChar w:fldCharType="end"/>
    </w:r>
    <w:r>
      <w:rPr>
        <w:color w:val="595959"/>
        <w:sz w:val="14"/>
        <w:szCs w:val="14"/>
      </w:rPr>
      <w:t xml:space="preserve"> of </w:t>
    </w:r>
    <w:r>
      <w:rPr>
        <w:color w:val="595959"/>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E4620" w:sz="6" w:space="6"/>
      </w:pBdr>
      <w:spacing w:after="120"/>
      <w:jc w:val="left"/>
    </w:pPr>
    <w:r>
      <w:drawing>
        <wp:inline distT="0" distB="0" distL="0" distR="0">
          <wp:extent cx="1428750" cy="95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952500"/>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E4620" w:sz="6" w:space="6"/>
      </w:pBdr>
      <w:spacing w:after="120"/>
      <w:jc w:val="left"/>
    </w:pPr>
    <w:r>
      <w:drawing>
        <wp:inline distT="0" distB="0" distL="0" distR="0">
          <wp:extent cx="1428750" cy="95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95250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360"/>
      </w:pPr>
      <w:rPr>
        <w:color w:val="1E4620"/>
      </w:rPr>
    </w:lvl>
    <w:lvl w:ilvl="1" w15:tentative="1">
      <w:start w:val="1"/>
      <w:numFmt w:val="bullet"/>
      <w:lvlText w:val="○"/>
      <w:lvlJc w:val="left"/>
      <w:pPr>
        <w:ind w:left="792" w:hanging="360"/>
      </w:pPr>
    </w:lvl>
  </w:abstractNum>
  <w:abstractNum w:abstractNumId="3"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4"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5"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6"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7"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8"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9"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0"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1"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2"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3"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4"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5"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6"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7"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8"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19"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0"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1"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2"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3"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4"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5"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6"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7"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8"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29"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30"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31"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abstractNum w:abstractNumId="32" w15:restartNumberingAfterBreak="0">
    <w:multiLevelType w:val="hybridMultilevel"/>
    <w:lvl w:ilvl="0" w15:tentative="1">
      <w:start w:val="1"/>
      <w:numFmt w:val="decimal"/>
      <w:lvlText w:val="%1."/>
      <w:lvlJc w:val="left"/>
      <w:pPr>
        <w:ind w:left="431" w:hanging="431"/>
      </w:pPr>
    </w:lvl>
    <w:lvl w:ilvl="1" w15:tentative="1">
      <w:start w:val="1"/>
      <w:numFmt w:val="lowerLetter"/>
      <w:lvlText w:val="%2)"/>
      <w:lvlJc w:val="left"/>
      <w:pPr>
        <w:ind w:left="863" w:hanging="431"/>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22222"/>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image" Target="media/9a2424dad07bf6a03978fed96ff63a2b667c4506.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a2424dad07bf6a03978fed96ff63a2b667c4506.png"/></Relationships>
</file>

<file path=word/_rels/header2.xml.rels><?xml version="1.0" encoding="UTF-8"?><Relationships xmlns="http://schemas.openxmlformats.org/package/2006/relationships"><Relationship Id="rId0" Type="http://schemas.openxmlformats.org/officeDocument/2006/relationships/image" Target="media/9a2424dad07bf6a03978fed96ff63a2b667c4506.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HHS-GUI-05</dc:title>
  <dc:creator>Haven Housing Service</dc:creator>
  <cp:lastModifiedBy>Un-named</cp:lastModifiedBy>
  <cp:revision>1</cp:revision>
  <dcterms:created xsi:type="dcterms:W3CDTF">2026-08-06T11:41:14.580Z</dcterms:created>
  <dcterms:modified xsi:type="dcterms:W3CDTF">2026-08-06T11:41:14.592Z</dcterms:modified>
</cp:coreProperties>
</file>

<file path=docProps/custom.xml><?xml version="1.0" encoding="utf-8"?>
<Properties xmlns="http://schemas.openxmlformats.org/officeDocument/2006/custom-properties" xmlns:vt="http://schemas.openxmlformats.org/officeDocument/2006/docPropsVTypes"/>
</file>